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7E202">
      <w:pPr>
        <w:jc w:val="center"/>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美国波特兰甜甜圈城市实践案例研究报告</w:t>
      </w:r>
    </w:p>
    <w:p w14:paraId="60657658">
      <w:pPr>
        <w:jc w:val="right"/>
        <w:rPr>
          <w:rFonts w:hint="eastAsia" w:ascii="楷体_GB2312" w:hAnsi="楷体_GB2312" w:eastAsia="楷体_GB2312" w:cs="楷体_GB2312"/>
          <w:sz w:val="21"/>
          <w:szCs w:val="21"/>
          <w:lang w:val="en-US" w:eastAsia="zh-CN"/>
        </w:rPr>
      </w:pPr>
      <w:bookmarkStart w:id="0" w:name="_GoBack"/>
      <w:bookmarkEnd w:id="0"/>
      <w:r>
        <w:rPr>
          <w:rFonts w:hint="eastAsia" w:ascii="楷体_GB2312" w:hAnsi="楷体_GB2312" w:eastAsia="楷体_GB2312" w:cs="楷体_GB2312"/>
          <w:sz w:val="21"/>
          <w:szCs w:val="21"/>
          <w:lang w:val="en-US" w:eastAsia="zh-CN"/>
        </w:rPr>
        <w:t>康正阳</w:t>
      </w:r>
    </w:p>
    <w:p w14:paraId="19E8B080">
      <w:pPr>
        <w:bidi w:val="0"/>
        <w:rPr>
          <w:rFonts w:hint="eastAsia" w:ascii="楷体_GB2312" w:hAnsi="楷体_GB2312" w:eastAsia="楷体_GB2312" w:cs="楷体_GB2312"/>
          <w:sz w:val="24"/>
          <w:szCs w:val="24"/>
          <w:lang w:eastAsia="zh-CN"/>
        </w:rPr>
      </w:pPr>
      <w:r>
        <w:rPr>
          <w:rFonts w:hint="eastAsia" w:ascii="楷体_GB2312" w:hAnsi="楷体_GB2312" w:eastAsia="楷体_GB2312" w:cs="楷体_GB2312"/>
          <w:sz w:val="24"/>
          <w:szCs w:val="24"/>
          <w:lang w:val="en-US" w:eastAsia="zh-CN"/>
        </w:rPr>
        <w:t>一、</w:t>
      </w:r>
      <w:r>
        <w:rPr>
          <w:rFonts w:hint="eastAsia" w:ascii="楷体_GB2312" w:hAnsi="楷体_GB2312" w:eastAsia="楷体_GB2312" w:cs="楷体_GB2312"/>
          <w:sz w:val="24"/>
          <w:szCs w:val="24"/>
        </w:rPr>
        <w:t>摘要</w:t>
      </w:r>
      <w:r>
        <w:rPr>
          <w:rFonts w:hint="eastAsia" w:ascii="楷体_GB2312" w:hAnsi="楷体_GB2312" w:eastAsia="楷体_GB2312" w:cs="楷体_GB2312"/>
          <w:sz w:val="24"/>
          <w:szCs w:val="24"/>
          <w:lang w:eastAsia="zh-CN"/>
        </w:rPr>
        <w:t>：</w:t>
      </w:r>
    </w:p>
    <w:p w14:paraId="24C50557">
      <w:pPr>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波特兰是美国首个将甜甜圈经济学正式纳入官方政策体系的城市，以城市肖像（City Portrait）与四镜头评估框架为核心工具，依托全球首个城市级消费端全生命周期碳排放清单（CBEI），构建 “社会底线保障 + 生态天花板约束” 的双目标治理模式。本报告</w:t>
      </w:r>
      <w:r>
        <w:rPr>
          <w:rFonts w:hint="eastAsia" w:ascii="仿宋_GB2312" w:hAnsi="仿宋_GB2312" w:eastAsia="仿宋_GB2312" w:cs="仿宋_GB2312"/>
          <w:sz w:val="21"/>
          <w:szCs w:val="21"/>
          <w:lang w:val="en-US" w:eastAsia="zh-CN"/>
        </w:rPr>
        <w:t>主要</w:t>
      </w:r>
      <w:r>
        <w:rPr>
          <w:rFonts w:hint="eastAsia" w:ascii="仿宋_GB2312" w:hAnsi="仿宋_GB2312" w:eastAsia="仿宋_GB2312" w:cs="仿宋_GB2312"/>
          <w:sz w:val="21"/>
          <w:szCs w:val="21"/>
        </w:rPr>
        <w:t>基于波特兰《可持续消费与生产报告（SC&amp;PR）》</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繁荣城市倡议（TCI）实践</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波特兰城市肖像等数据</w:t>
      </w:r>
      <w:r>
        <w:rPr>
          <w:rFonts w:hint="eastAsia" w:ascii="仿宋_GB2312" w:hAnsi="仿宋_GB2312" w:eastAsia="仿宋_GB2312" w:cs="仿宋_GB2312"/>
          <w:sz w:val="21"/>
          <w:szCs w:val="21"/>
        </w:rPr>
        <w:t>系统梳理其甜甜圈理念应用、治理结构、突出问题、行动策略与实践特征，并提炼对中国城市低碳转型、公平发展与高质量发展的借鉴价值与本土化路径。</w:t>
      </w:r>
    </w:p>
    <w:p w14:paraId="78476AF0">
      <w:pPr>
        <w:rPr>
          <w:rFonts w:hint="eastAsia" w:ascii="楷体_GB2312" w:hAnsi="楷体_GB2312" w:eastAsia="楷体_GB2312" w:cs="楷体_GB2312"/>
          <w:sz w:val="24"/>
          <w:szCs w:val="24"/>
          <w:lang w:eastAsia="zh-CN"/>
        </w:rPr>
      </w:pPr>
      <w:r>
        <w:rPr>
          <w:rFonts w:hint="eastAsia" w:ascii="楷体_GB2312" w:hAnsi="楷体_GB2312" w:eastAsia="楷体_GB2312" w:cs="楷体_GB2312"/>
          <w:sz w:val="24"/>
          <w:szCs w:val="24"/>
          <w:lang w:val="en-US" w:eastAsia="zh-CN"/>
        </w:rPr>
        <w:t>二、</w:t>
      </w:r>
      <w:r>
        <w:rPr>
          <w:rFonts w:hint="eastAsia" w:ascii="楷体_GB2312" w:hAnsi="楷体_GB2312" w:eastAsia="楷体_GB2312" w:cs="楷体_GB2312"/>
          <w:sz w:val="24"/>
          <w:szCs w:val="24"/>
        </w:rPr>
        <w:t>引言</w:t>
      </w:r>
      <w:r>
        <w:rPr>
          <w:rFonts w:hint="eastAsia" w:ascii="楷体_GB2312" w:hAnsi="楷体_GB2312" w:eastAsia="楷体_GB2312" w:cs="楷体_GB2312"/>
          <w:sz w:val="24"/>
          <w:szCs w:val="24"/>
          <w:lang w:eastAsia="zh-CN"/>
        </w:rPr>
        <w:t>：</w:t>
      </w:r>
    </w:p>
    <w:p w14:paraId="21C91E86">
      <w:pPr>
        <w:ind w:firstLine="420" w:firstLineChars="200"/>
        <w:rPr>
          <w:rFonts w:hint="eastAsia" w:ascii="仿宋_GB2312" w:hAnsi="仿宋_GB2312" w:eastAsia="仿宋_GB2312" w:cs="仿宋_GB2312"/>
        </w:rPr>
      </w:pPr>
      <w:r>
        <w:rPr>
          <w:rFonts w:hint="eastAsia" w:ascii="仿宋_GB2312" w:hAnsi="仿宋_GB2312" w:eastAsia="仿宋_GB2312" w:cs="仿宋_GB2312"/>
        </w:rPr>
        <w:t>在全球气候危机加剧、城市不平等扩大、经济增长与民生福祉脱钩的背景下，传统以 GDP 为中心的城市治理模式面临系统性困境。甜甜圈经济学以 “社会基础底线” 与 “生态天花板” 构成人类安全与公正空间，为城市转型提供新范式。美国俄勒冈州波特兰市是全球较早系统性推进甜甜圈经济学实践的城市之一。其甜甜圈相关政策与行动始于 2021 年，以市政府发布的《可持续消费与生产报告（SC&amp;PR）》为正式标志，是美国首个将甜甜圈经济学框架纳入官方政策体系的城市。本次实践呈现清晰的自上而下、政府主导特征，由波特兰规划与可持续发展局（BPS）牵头统筹，以城市官方政策、气候行动规划与治理工具为载体，将甜甜圈双环模型、四镜头评估框架、短缺 — 过载差异化治理等核心理念转化为可实施的城市战略与行动计划，并依托政府行政力量推进消费端全生命周期碳核算、住房保障、循环经济、低碳建设等关键任务落地，形成从理论框架到公共政策再到城市治理的完整闭环。</w:t>
      </w:r>
    </w:p>
    <w:p w14:paraId="2457BE43">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三</w:t>
      </w:r>
      <w:r>
        <w:rPr>
          <w:rFonts w:hint="eastAsia" w:ascii="仿宋_GB2312" w:hAnsi="仿宋_GB2312" w:eastAsia="仿宋_GB2312" w:cs="仿宋_GB2312"/>
          <w:sz w:val="24"/>
          <w:szCs w:val="24"/>
        </w:rPr>
        <w:t>、波特兰甜甜圈经济学的实践应用</w:t>
      </w:r>
    </w:p>
    <w:p w14:paraId="19A19835">
      <w:pPr>
        <w:rPr>
          <w:rFonts w:hint="eastAsia" w:ascii="仿宋_GB2312" w:hAnsi="仿宋_GB2312" w:eastAsia="仿宋_GB2312" w:cs="仿宋_GB2312"/>
        </w:rPr>
      </w:pPr>
      <w:r>
        <w:rPr>
          <w:rFonts w:hint="eastAsia" w:ascii="仿宋_GB2312" w:hAnsi="仿宋_GB2312" w:eastAsia="仿宋_GB2312" w:cs="仿宋_GB2312"/>
        </w:rPr>
        <w:t>（一）核心甜甜圈概念与工具</w:t>
      </w:r>
    </w:p>
    <w:p w14:paraId="1229CE41">
      <w:pPr>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波特兰直接采用甜甜圈经济学标准体系，以 “城市肖像（City Portrait）” 为核心工具刻画城市社会与生态现状，并配套使用四镜头框架、短缺（Shortfall）/ 过载（Overshoot）群体分类、社会底线 — 生态天花板双环模型、公正转型等核心概念，将理论转化为城市诊断与政策制定依据。</w:t>
      </w:r>
    </w:p>
    <w:p w14:paraId="19429DB9">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（二）四镜头结构分析</w:t>
      </w:r>
    </w:p>
    <w:p w14:paraId="65423FCC">
      <w:pPr>
        <w:ind w:firstLine="422" w:firstLineChars="200"/>
        <w:rPr>
          <w:rFonts w:hint="eastAsia" w:ascii="仿宋_GB2312" w:hAnsi="仿宋_GB2312" w:eastAsia="仿宋_GB2312" w:cs="仿宋_GB2312"/>
        </w:rPr>
      </w:pPr>
      <w:r>
        <w:rPr>
          <w:rFonts w:hint="eastAsia" w:ascii="仿宋_GB2312" w:hAnsi="仿宋_GB2312" w:eastAsia="仿宋_GB2312" w:cs="仿宋_GB2312"/>
          <w:b/>
          <w:bCs/>
          <w:lang w:val="en-US" w:eastAsia="zh-CN"/>
        </w:rPr>
        <w:t>（1）本地社会维度：</w:t>
      </w:r>
      <w:r>
        <w:rPr>
          <w:rFonts w:hint="eastAsia" w:ascii="仿宋_GB2312" w:hAnsi="仿宋_GB2312" w:eastAsia="仿宋_GB2312" w:cs="仿宋_GB2312"/>
          <w:b/>
          <w:bCs/>
        </w:rPr>
        <w:t>收入不平等、基本需求不足、住房短缺、政治参与弱、公共服务不均、就业差距</w:t>
      </w:r>
      <w:r>
        <w:rPr>
          <w:rFonts w:hint="eastAsia" w:ascii="仿宋_GB2312" w:hAnsi="仿宋_GB2312" w:eastAsia="仿宋_GB2312" w:cs="仿宋_GB2312"/>
          <w:b/>
          <w:bCs/>
          <w:lang w:eastAsia="zh-CN"/>
        </w:rPr>
        <w:t>。</w:t>
      </w:r>
      <w:r>
        <w:rPr>
          <w:rFonts w:hint="eastAsia" w:ascii="仿宋_GB2312" w:hAnsi="仿宋_GB2312" w:eastAsia="仿宋_GB2312" w:cs="仿宋_GB2312"/>
        </w:rPr>
        <w:t>根据波特兰《城市肖像（2019）》官方数据，该市社会基础存在明显短板：61% 的市民缺乏决策参与感，2015 年有色族群收入较白人低 25%；2018 年 33% 的家庭无法满足基本生活需求，高中毕业率仅 80%，低于全国平均水平；绿色出行比例仅 25%，仅完成目标的三分之一；仅 63% 的居民居住在服务完善的社区。这些数据共同表明，波特兰在收入公平、基本生活保障、公共服务与社区可达性方面存在显著社会缺口。</w:t>
      </w:r>
    </w:p>
    <w:p w14:paraId="749D35E6">
      <w:pPr>
        <w:ind w:firstLine="422" w:firstLineChars="200"/>
        <w:rPr>
          <w:rFonts w:hint="eastAsia" w:ascii="仿宋_GB2312" w:hAnsi="仿宋_GB2312" w:eastAsia="仿宋_GB2312" w:cs="仿宋_GB2312"/>
        </w:rPr>
      </w:pP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本地生态维度</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空气污染超标、热岛效应显著、植被覆盖率低、水土流失、地质灾害风险、生态承载力不足</w:t>
      </w:r>
      <w:r>
        <w:rPr>
          <w:rFonts w:hint="eastAsia" w:ascii="仿宋_GB2312" w:hAnsi="仿宋_GB2312" w:eastAsia="仿宋_GB2312" w:cs="仿宋_GB2312"/>
          <w:b/>
          <w:bCs/>
          <w:lang w:eastAsia="zh-CN"/>
        </w:rPr>
        <w:t>。</w:t>
      </w:r>
      <w:r>
        <w:rPr>
          <w:rFonts w:hint="eastAsia" w:ascii="仿宋_GB2312" w:hAnsi="仿宋_GB2312" w:eastAsia="仿宋_GB2312" w:cs="仿宋_GB2312"/>
        </w:rPr>
        <w:t>波特兰《城市肖像（2019）》显示，本地柴油污染最高超标达 25 倍，城市热岛效应强度位居全美第四，城区温度较周边乡村高 4.8°F；城市树冠覆盖率仅 26%，生态空间不足；年均发生约 20 次山体滑坡，造成显著经济损失。尽管城市绿色基础设施可每年截留 23 亿加仑雨水，但本地生态系统仍面临污染、热岛、地质风险等多重压力。</w:t>
      </w:r>
    </w:p>
    <w:p w14:paraId="2E1A9573">
      <w:pPr>
        <w:ind w:firstLine="422" w:firstLineChars="200"/>
        <w:rPr>
          <w:rFonts w:hint="eastAsia" w:ascii="仿宋_GB2312" w:hAnsi="仿宋_GB2312" w:eastAsia="仿宋_GB2312" w:cs="仿宋_GB2312"/>
        </w:rPr>
      </w:pPr>
      <w:r>
        <w:rPr>
          <w:rFonts w:hint="eastAsia" w:ascii="仿宋_GB2312" w:hAnsi="仿宋_GB2312" w:eastAsia="仿宋_GB2312" w:cs="仿宋_GB2312"/>
          <w:b/>
          <w:bCs/>
          <w:sz w:val="21"/>
          <w:szCs w:val="21"/>
          <w:lang w:val="en-US" w:eastAsia="zh-CN"/>
        </w:rPr>
        <w:t>（3）全球生态维度：</w:t>
      </w:r>
      <w:r>
        <w:rPr>
          <w:rFonts w:hint="eastAsia" w:ascii="仿宋_GB2312" w:hAnsi="仿宋_GB2312" w:eastAsia="仿宋_GB2312" w:cs="仿宋_GB2312"/>
          <w:b/>
          <w:bCs/>
          <w:sz w:val="21"/>
          <w:szCs w:val="21"/>
        </w:rPr>
        <w:t>消费型碳排放、生态外包、垃圾过量、资源过度消耗、供应链高碳、生态超载</w:t>
      </w:r>
      <w:r>
        <w:rPr>
          <w:rFonts w:hint="eastAsia" w:ascii="仿宋_GB2312" w:hAnsi="仿宋_GB2312" w:eastAsia="仿宋_GB2312" w:cs="仿宋_GB2312"/>
          <w:b/>
          <w:bCs/>
          <w:sz w:val="21"/>
          <w:szCs w:val="21"/>
          <w:lang w:eastAsia="zh-CN"/>
        </w:rPr>
        <w:t>。</w:t>
      </w:r>
      <w:r>
        <w:rPr>
          <w:rFonts w:hint="eastAsia" w:ascii="仿宋_GB2312" w:hAnsi="仿宋_GB2312" w:eastAsia="仿宋_GB2312" w:cs="仿宋_GB2312"/>
          <w:lang w:val="en-US" w:eastAsia="zh-CN"/>
        </w:rPr>
        <w:t>《城市肖像（2019）》数据显示，尽管本地生产端碳排放有所下降，但消费驱动的生态压力持续扩大；该市人均年产生垃圾 1.4 吨，45% 进入填埋；高耗能食物体系（如牛肉生产占地为植物性食品 50 倍以上）加剧全球资源消耗；交通部门排放不降反升 8%，进一步加大全球生态超载压力。</w:t>
      </w:r>
    </w:p>
    <w:p w14:paraId="03AA34EC">
      <w:pPr>
        <w:ind w:firstLine="422" w:firstLineChars="200"/>
        <w:rPr>
          <w:rFonts w:hint="eastAsia" w:ascii="仿宋_GB2312" w:hAnsi="仿宋_GB2312" w:eastAsia="仿宋_GB2312" w:cs="仿宋_GB2312"/>
        </w:rPr>
      </w:pPr>
      <w:r>
        <w:rPr>
          <w:rFonts w:hint="eastAsia" w:ascii="仿宋_GB2312" w:hAnsi="仿宋_GB2312" w:eastAsia="仿宋_GB2312" w:cs="仿宋_GB2312"/>
          <w:b/>
          <w:bCs/>
          <w:lang w:val="en-US" w:eastAsia="zh-CN"/>
        </w:rPr>
        <w:t>（4）全球社会维度：劳工剥削、低薪过劳、童工、性别不公、人权损害、社会成本外部化呈现城市消费对全球人群的社会成本转嫁。</w:t>
      </w:r>
      <w:r>
        <w:rPr>
          <w:rFonts w:hint="eastAsia" w:ascii="仿宋_GB2312" w:hAnsi="仿宋_GB2312" w:eastAsia="仿宋_GB2312" w:cs="仿宋_GB2312"/>
          <w:lang w:val="en-US" w:eastAsia="zh-CN"/>
        </w:rPr>
        <w:t>波特兰《城市肖像（2019）》明确揭示，该市依赖的全球供应链导致发展中国家出现系统性不公：柬埔寨服装工人薪资不足、营养不良；刚果矿工面临肺病与身体损伤；泰国渔业存在人口贩卖与强迫劳动；亚洲女性服装工人遭遇强迫加班与职场歧视；刚果儿童长期从事矿产开采而失去受教育机会。这表明波特兰的消费模式造成全球社会公平的外部性损害。</w:t>
      </w:r>
    </w:p>
    <w:p w14:paraId="034E17F7">
      <w:pPr>
        <w:rPr>
          <w:rFonts w:hint="eastAsia" w:ascii="仿宋_GB2312" w:hAnsi="仿宋_GB2312" w:eastAsia="仿宋_GB2312" w:cs="仿宋_GB2312"/>
        </w:rPr>
      </w:pPr>
      <w:r>
        <w:rPr>
          <w:rFonts w:hint="eastAsia" w:ascii="仿宋_GB2312" w:hAnsi="仿宋_GB2312" w:eastAsia="仿宋_GB2312" w:cs="仿宋_GB2312"/>
        </w:rPr>
        <w:t>（三）最突出社会短板与生态压力</w:t>
      </w:r>
    </w:p>
    <w:p w14:paraId="5DE6CDCB">
      <w:pPr>
        <w:ind w:firstLine="420" w:firstLineChars="200"/>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（1）最突出的社会短板：</w:t>
      </w:r>
    </w:p>
    <w:p w14:paraId="4930F95C">
      <w:pPr>
        <w:ind w:firstLine="422" w:firstLineChars="200"/>
        <w:rPr>
          <w:rFonts w:hint="eastAsia" w:ascii="仿宋_GB2312" w:hAnsi="仿宋_GB2312" w:eastAsia="仿宋_GB2312" w:cs="仿宋_GB2312"/>
        </w:rPr>
      </w:pPr>
      <w:r>
        <w:rPr>
          <w:rFonts w:hint="eastAsia" w:ascii="仿宋_GB2312" w:hAnsi="仿宋_GB2312" w:eastAsia="仿宋_GB2312" w:cs="仿宋_GB2312"/>
          <w:b/>
          <w:bCs/>
          <w:lang w:val="en-US" w:eastAsia="zh-CN"/>
        </w:rPr>
        <w:t>社会公平：</w:t>
      </w:r>
      <w:r>
        <w:rPr>
          <w:rFonts w:hint="eastAsia" w:ascii="仿宋_GB2312" w:hAnsi="仿宋_GB2312" w:eastAsia="仿宋_GB2312" w:cs="仿宋_GB2312"/>
          <w:b/>
          <w:bCs/>
        </w:rPr>
        <w:t>基本福祉保障不足与系统性社会不平等</w:t>
      </w:r>
    </w:p>
    <w:p w14:paraId="1DD5FA83">
      <w:pPr>
        <w:ind w:firstLine="420" w:firstLineChars="200"/>
        <w:rPr>
          <w:rFonts w:hint="eastAsia" w:ascii="仿宋_GB2312" w:hAnsi="仿宋_GB2312" w:eastAsia="仿宋_GB2312" w:cs="仿宋_GB2312"/>
        </w:rPr>
      </w:pPr>
      <w:r>
        <w:rPr>
          <w:rFonts w:hint="eastAsia" w:ascii="仿宋_GB2312" w:hAnsi="仿宋_GB2312" w:eastAsia="仿宋_GB2312" w:cs="仿宋_GB2312"/>
        </w:rPr>
        <w:t>33% 家庭无力满足基本生活需求；超 4000 人无家可归，近 40% 家庭住房负担过重；有色人种收入比白人低 25%，失业率更高；61% 居民缺乏政治话语权；高中毕业率 80%，低于全美平均 85%；绿色出行仅 25%，社区服务可达性仅 63%。</w:t>
      </w:r>
    </w:p>
    <w:p w14:paraId="06B8E092">
      <w:pPr>
        <w:ind w:firstLine="42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原因：长期以 GDP 为单一增长导向，城市繁荣成果分配不均；新冠疫情进一步加剧贫困、失业与住房危机；历史上的种族不平等与空间隔离持续影响公共服务可及性。</w:t>
      </w:r>
    </w:p>
    <w:p w14:paraId="0754BB8C">
      <w:pPr>
        <w:ind w:firstLine="420" w:firstLineChars="200"/>
        <w:rPr>
          <w:rFonts w:hint="eastAsia" w:ascii="仿宋_GB2312" w:hAnsi="仿宋_GB2312" w:eastAsia="仿宋_GB2312" w:cs="仿宋_GB2312"/>
        </w:rPr>
      </w:pPr>
      <w:r>
        <w:rPr>
          <w:rFonts w:hint="eastAsia" w:ascii="仿宋_GB2312" w:hAnsi="仿宋_GB2312" w:eastAsia="仿宋_GB2312" w:cs="仿宋_GB2312"/>
        </w:rPr>
        <w:t>（2）最突出的生态压力：</w:t>
      </w:r>
    </w:p>
    <w:p w14:paraId="6E1BDB97">
      <w:pPr>
        <w:ind w:firstLine="422" w:firstLineChars="200"/>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气候变化：</w:t>
      </w:r>
      <w:r>
        <w:rPr>
          <w:rFonts w:hint="eastAsia" w:ascii="仿宋_GB2312" w:hAnsi="仿宋_GB2312" w:eastAsia="仿宋_GB2312" w:cs="仿宋_GB2312"/>
          <w:b/>
          <w:bCs/>
        </w:rPr>
        <w:t>消费驱动型全球生态超载与本地环境失衡</w:t>
      </w:r>
    </w:p>
    <w:p w14:paraId="7093B586">
      <w:pPr>
        <w:ind w:firstLine="420" w:firstLineChars="200"/>
        <w:rPr>
          <w:rFonts w:hint="eastAsia" w:ascii="仿宋_GB2312" w:hAnsi="仿宋_GB2312" w:eastAsia="仿宋_GB2312" w:cs="仿宋_GB2312"/>
        </w:rPr>
      </w:pPr>
      <w:r>
        <w:rPr>
          <w:rFonts w:hint="eastAsia" w:ascii="仿宋_GB2312" w:hAnsi="仿宋_GB2312" w:eastAsia="仿宋_GB2312" w:cs="仿宋_GB2312"/>
        </w:rPr>
        <w:t>消费端碳排放为本地排放的2 倍，62% 来自海外生产环节；柴油污染最高超标 25 倍；</w:t>
      </w:r>
    </w:p>
    <w:p w14:paraId="14EA2FB5">
      <w:pPr>
        <w:rPr>
          <w:rFonts w:hint="eastAsia" w:ascii="仿宋_GB2312" w:hAnsi="仿宋_GB2312" w:eastAsia="仿宋_GB2312" w:cs="仿宋_GB2312"/>
        </w:rPr>
      </w:pPr>
      <w:r>
        <w:rPr>
          <w:rFonts w:hint="eastAsia" w:ascii="仿宋_GB2312" w:hAnsi="仿宋_GB2312" w:eastAsia="仿宋_GB2312" w:cs="仿宋_GB2312"/>
        </w:rPr>
        <w:t>城市热岛效应强度全美第 4，高出乡村 4.8°F；城市树冠覆盖率仅26%；年均约20 次山体滑坡；人均年产垃圾1.4 吨，45% 进入填埋。</w:t>
      </w:r>
    </w:p>
    <w:p w14:paraId="7E85E85C">
      <w:pPr>
        <w:ind w:firstLine="42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原因：城市高度依赖全球供应链消费，生产环节大量外包，导致传统气候核算失灵；高消耗、高浪费、高碳消费模式持续推高生态足迹；城市扩张与土地利用模式加剧热岛、污染与生态空间不足。</w:t>
      </w:r>
    </w:p>
    <w:p w14:paraId="52AB6B57">
      <w:pPr>
        <w:rPr>
          <w:rFonts w:hint="eastAsia" w:ascii="仿宋_GB2312" w:hAnsi="仿宋_GB2312" w:eastAsia="仿宋_GB2312" w:cs="仿宋_GB2312"/>
        </w:rPr>
      </w:pPr>
      <w:r>
        <w:rPr>
          <w:rFonts w:hint="eastAsia" w:ascii="仿宋_GB2312" w:hAnsi="仿宋_GB2312" w:eastAsia="仿宋_GB2312" w:cs="仿宋_GB2312"/>
        </w:rPr>
        <w:t>（3）需解决的社会经济与生态环境问题</w:t>
      </w:r>
    </w:p>
    <w:p w14:paraId="5BFAD4F2">
      <w:pPr>
        <w:ind w:firstLine="42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社会经济问题缓解住房短缺与无家可归者危机；缩小种族收入与就业差距；提升基本公共服务均等化；增强居民政治参与与社区福祉；实现经济增长成果公平共享。原因：GDP 增长与民生福祉脱钩，社会基础短板明显。</w:t>
      </w:r>
    </w:p>
    <w:p w14:paraId="68CBC620">
      <w:pPr>
        <w:rPr>
          <w:rFonts w:hint="eastAsia" w:ascii="仿宋_GB2312" w:hAnsi="仿宋_GB2312" w:eastAsia="仿宋_GB2312" w:cs="仿宋_GB2312"/>
        </w:rPr>
      </w:pPr>
      <w:r>
        <w:rPr>
          <w:rFonts w:hint="eastAsia" w:ascii="仿宋_GB2312" w:hAnsi="仿宋_GB2312" w:eastAsia="仿宋_GB2312" w:cs="仿宋_GB2312"/>
          <w:lang w:val="en-US" w:eastAsia="zh-CN"/>
        </w:rPr>
        <w:t>生态环境问题扭转消费驱动的高碳排放与生态外包；控制本地空气污染与热岛效应；提升城市生态空间与韧性；减少垃圾产生与资源消耗。原因：本地生态承载力不足，全球生态责任被长期低估。</w:t>
      </w:r>
    </w:p>
    <w:p w14:paraId="45B3C4AF">
      <w:pPr>
        <w:rPr>
          <w:rFonts w:hint="eastAsia"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4）</w:t>
      </w:r>
      <w:r>
        <w:rPr>
          <w:rFonts w:hint="eastAsia" w:ascii="仿宋_GB2312" w:hAnsi="仿宋_GB2312" w:eastAsia="仿宋_GB2312" w:cs="仿宋_GB2312"/>
        </w:rPr>
        <w:t>“本地改善 — 外部转移” 与全球责任</w:t>
      </w:r>
    </w:p>
    <w:p w14:paraId="4176D0D7">
      <w:pPr>
        <w:ind w:firstLine="42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波特兰政府</w:t>
      </w:r>
      <w:r>
        <w:rPr>
          <w:rFonts w:hint="eastAsia" w:ascii="仿宋_GB2312" w:hAnsi="仿宋_GB2312" w:eastAsia="仿宋_GB2312" w:cs="仿宋_GB2312"/>
        </w:rPr>
        <w:t>明确承认本地减排靠外部转移：本地排放下降，但消费型排放与隐含碳大量外包至发展中国家</w:t>
      </w:r>
      <w:r>
        <w:rPr>
          <w:rFonts w:hint="eastAsia" w:ascii="仿宋_GB2312" w:hAnsi="仿宋_GB2312" w:eastAsia="仿宋_GB2312" w:cs="仿宋_GB2312"/>
          <w:lang w:eastAsia="zh-CN"/>
        </w:rPr>
        <w:t>；</w:t>
      </w:r>
      <w:r>
        <w:rPr>
          <w:rFonts w:hint="eastAsia" w:ascii="仿宋_GB2312" w:hAnsi="仿宋_GB2312" w:eastAsia="仿宋_GB2312" w:cs="仿宋_GB2312"/>
        </w:rPr>
        <w:t>明确承认生态成本转嫁：城市消费造成全球土地、水资源、生物多样性压力与污染转移</w:t>
      </w:r>
      <w:r>
        <w:rPr>
          <w:rFonts w:hint="eastAsia" w:ascii="仿宋_GB2312" w:hAnsi="仿宋_GB2312" w:eastAsia="仿宋_GB2312" w:cs="仿宋_GB2312"/>
          <w:lang w:eastAsia="zh-CN"/>
        </w:rPr>
        <w:t>；</w:t>
      </w:r>
      <w:r>
        <w:rPr>
          <w:rFonts w:hint="eastAsia" w:ascii="仿宋_GB2312" w:hAnsi="仿宋_GB2312" w:eastAsia="仿宋_GB2312" w:cs="仿宋_GB2312"/>
        </w:rPr>
        <w:t>明确承认社会成本转嫁：供应链存在低薪、过劳、童工、性别歧视、劳工权利受损等问题</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该市</w:t>
      </w:r>
      <w:r>
        <w:rPr>
          <w:rFonts w:hint="eastAsia" w:ascii="仿宋_GB2312" w:hAnsi="仿宋_GB2312" w:eastAsia="仿宋_GB2312" w:cs="仿宋_GB2312"/>
        </w:rPr>
        <w:t>将全球责任正式纳入《城市肖像》与《可持续消费与生产报告》，作为政策目标。</w:t>
      </w:r>
    </w:p>
    <w:p w14:paraId="24772694">
      <w:pPr>
        <w:rPr>
          <w:rFonts w:hint="eastAsia" w:ascii="仿宋_GB2312" w:hAnsi="仿宋_GB2312" w:eastAsia="仿宋_GB2312" w:cs="仿宋_GB2312"/>
          <w:lang w:val="en-US"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5）城市亮点</w:t>
      </w:r>
    </w:p>
    <w:p w14:paraId="12D13C98">
      <w:pPr>
        <w:ind w:firstLine="420" w:firstLineChars="200"/>
        <w:rPr>
          <w:rFonts w:hint="eastAsia" w:ascii="仿宋_GB2312" w:hAnsi="仿宋_GB2312" w:eastAsia="仿宋_GB2312" w:cs="仿宋_GB2312"/>
        </w:rPr>
      </w:pPr>
      <w:r>
        <w:rPr>
          <w:rFonts w:hint="eastAsia" w:ascii="仿宋_GB2312" w:hAnsi="仿宋_GB2312" w:eastAsia="仿宋_GB2312" w:cs="仿宋_GB2312"/>
        </w:rPr>
        <w:t>波特兰于 2015 年发布全球首个城市级消费端全生命周期碳排放清单（CBEI），将气候核算从传统辖区内生产排放，拓展至覆盖全球供应链的消费端全生命周期排放，彻底改变城市气候治理的核算逻辑。</w:t>
      </w:r>
    </w:p>
    <w:p w14:paraId="53687589">
      <w:pPr>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四</w:t>
      </w:r>
      <w:r>
        <w:rPr>
          <w:rFonts w:hint="eastAsia" w:ascii="楷体_GB2312" w:hAnsi="楷体_GB2312" w:eastAsia="楷体_GB2312" w:cs="楷体_GB2312"/>
          <w:sz w:val="24"/>
          <w:szCs w:val="24"/>
        </w:rPr>
        <w:t>、对中国城市发展的启示</w:t>
      </w:r>
    </w:p>
    <w:p w14:paraId="40899D8C">
      <w:pPr>
        <w:rPr>
          <w:rFonts w:hint="eastAsia" w:ascii="仿宋_GB2312" w:hAnsi="仿宋_GB2312" w:eastAsia="仿宋_GB2312" w:cs="仿宋_GB2312"/>
        </w:rPr>
      </w:pPr>
      <w:r>
        <w:rPr>
          <w:rFonts w:hint="eastAsia" w:ascii="仿宋_GB2312" w:hAnsi="仿宋_GB2312" w:eastAsia="仿宋_GB2312" w:cs="仿宋_GB2312"/>
        </w:rPr>
        <w:t>（一）最值得借鉴的经验</w:t>
      </w:r>
    </w:p>
    <w:p w14:paraId="636C56D7">
      <w:pPr>
        <w:rPr>
          <w:rFonts w:hint="eastAsia" w:ascii="仿宋_GB2312" w:hAnsi="仿宋_GB2312" w:eastAsia="仿宋_GB2312" w:cs="仿宋_GB2312"/>
        </w:rPr>
      </w:pPr>
      <w:r>
        <w:rPr>
          <w:rFonts w:hint="eastAsia" w:ascii="仿宋_GB2312" w:hAnsi="仿宋_GB2312" w:eastAsia="仿宋_GB2312" w:cs="仿宋_GB2312"/>
        </w:rPr>
        <w:t>从生产端减排转向全生命周期碳治理</w:t>
      </w:r>
      <w:r>
        <w:rPr>
          <w:rFonts w:hint="eastAsia" w:ascii="仿宋_GB2312" w:hAnsi="仿宋_GB2312" w:eastAsia="仿宋_GB2312" w:cs="仿宋_GB2312"/>
          <w:lang w:eastAsia="zh-CN"/>
        </w:rPr>
        <w:t>，</w:t>
      </w:r>
      <w:r>
        <w:rPr>
          <w:rFonts w:hint="eastAsia" w:ascii="仿宋_GB2312" w:hAnsi="仿宋_GB2312" w:eastAsia="仿宋_GB2312" w:cs="仿宋_GB2312"/>
        </w:rPr>
        <w:t>将隐含碳、供应链碳、消费端排放纳入城市碳核算体系，使双碳目标更真实、更完整</w:t>
      </w:r>
      <w:r>
        <w:rPr>
          <w:rFonts w:hint="eastAsia" w:ascii="仿宋_GB2312" w:hAnsi="仿宋_GB2312" w:eastAsia="仿宋_GB2312" w:cs="仿宋_GB2312"/>
          <w:lang w:eastAsia="zh-CN"/>
        </w:rPr>
        <w:t>；</w:t>
      </w:r>
      <w:r>
        <w:rPr>
          <w:rFonts w:hint="eastAsia" w:ascii="仿宋_GB2312" w:hAnsi="仿宋_GB2312" w:eastAsia="仿宋_GB2312" w:cs="仿宋_GB2312"/>
        </w:rPr>
        <w:t>以四镜头 + 双环模型替代单一 GDP 考核同步统筹社会底线、本地生态、全球责任，推动共同富裕与双碳目标协同实现。</w:t>
      </w:r>
    </w:p>
    <w:p w14:paraId="71596116">
      <w:pPr>
        <w:rPr>
          <w:rFonts w:hint="eastAsia" w:ascii="仿宋_GB2312" w:hAnsi="仿宋_GB2312" w:eastAsia="仿宋_GB2312" w:cs="仿宋_GB2312"/>
        </w:rPr>
      </w:pPr>
      <w:r>
        <w:rPr>
          <w:rFonts w:hint="eastAsia" w:ascii="仿宋_GB2312" w:hAnsi="仿宋_GB2312" w:eastAsia="仿宋_GB2312" w:cs="仿宋_GB2312"/>
        </w:rPr>
        <w:t>（二）本土化调整建议</w:t>
      </w:r>
    </w:p>
    <w:p w14:paraId="3CF7D174">
      <w:pPr>
        <w:rPr>
          <w:rFonts w:hint="eastAsia" w:ascii="方正仿宋_GB2312" w:hAnsi="方正仿宋_GB2312" w:eastAsia="方正仿宋_GB2312" w:cs="方正仿宋_GB2312"/>
        </w:rPr>
      </w:pPr>
      <w:r>
        <w:rPr>
          <w:rFonts w:hint="eastAsia" w:ascii="仿宋_GB2312" w:hAnsi="仿宋_GB2312" w:eastAsia="仿宋_GB2312" w:cs="仿宋_GB2312"/>
        </w:rPr>
        <w:t>核算体系适配</w:t>
      </w:r>
      <w:r>
        <w:rPr>
          <w:rFonts w:hint="eastAsia" w:ascii="仿宋_GB2312" w:hAnsi="仿宋_GB2312" w:eastAsia="仿宋_GB2312" w:cs="仿宋_GB2312"/>
          <w:lang w:eastAsia="zh-CN"/>
        </w:rPr>
        <w:t>：</w:t>
      </w:r>
      <w:r>
        <w:rPr>
          <w:rFonts w:hint="eastAsia" w:ascii="仿宋_GB2312" w:hAnsi="仿宋_GB2312" w:eastAsia="仿宋_GB2312" w:cs="仿宋_GB2312"/>
        </w:rPr>
        <w:t>中国以制造业为主，不能照搬消费城市口径，需建立 “生产 + 消费” 双重核算。治理结构适配</w:t>
      </w:r>
      <w:r>
        <w:rPr>
          <w:rFonts w:hint="eastAsia" w:ascii="仿宋_GB2312" w:hAnsi="仿宋_GB2312" w:eastAsia="仿宋_GB2312" w:cs="仿宋_GB2312"/>
          <w:lang w:eastAsia="zh-CN"/>
        </w:rPr>
        <w:t>；</w:t>
      </w:r>
      <w:r>
        <w:rPr>
          <w:rFonts w:hint="eastAsia" w:ascii="仿宋_GB2312" w:hAnsi="仿宋_GB2312" w:eastAsia="仿宋_GB2312" w:cs="仿宋_GB2312"/>
        </w:rPr>
        <w:t>以政府统筹为主，强化政府</w:t>
      </w:r>
      <w:r>
        <w:rPr>
          <w:rFonts w:hint="eastAsia" w:ascii="仿宋_GB2312" w:hAnsi="仿宋_GB2312" w:eastAsia="仿宋_GB2312" w:cs="仿宋_GB2312"/>
          <w:lang w:eastAsia="zh-CN"/>
        </w:rPr>
        <w:t>、</w:t>
      </w:r>
      <w:r>
        <w:rPr>
          <w:rFonts w:hint="eastAsia" w:ascii="仿宋_GB2312" w:hAnsi="仿宋_GB2312" w:eastAsia="仿宋_GB2312" w:cs="仿宋_GB2312"/>
        </w:rPr>
        <w:t>园区</w:t>
      </w:r>
      <w:r>
        <w:rPr>
          <w:rFonts w:hint="eastAsia" w:ascii="仿宋_GB2312" w:hAnsi="仿宋_GB2312" w:eastAsia="仿宋_GB2312" w:cs="仿宋_GB2312"/>
          <w:lang w:eastAsia="zh-CN"/>
        </w:rPr>
        <w:t>、</w:t>
      </w:r>
      <w:r>
        <w:rPr>
          <w:rFonts w:hint="eastAsia" w:ascii="仿宋_GB2312" w:hAnsi="仿宋_GB2312" w:eastAsia="仿宋_GB2312" w:cs="仿宋_GB2312"/>
        </w:rPr>
        <w:t>企业</w:t>
      </w:r>
      <w:r>
        <w:rPr>
          <w:rFonts w:hint="eastAsia" w:ascii="仿宋_GB2312" w:hAnsi="仿宋_GB2312" w:eastAsia="仿宋_GB2312" w:cs="仿宋_GB2312"/>
          <w:lang w:eastAsia="zh-CN"/>
        </w:rPr>
        <w:t>、</w:t>
      </w:r>
      <w:r>
        <w:rPr>
          <w:rFonts w:hint="eastAsia" w:ascii="仿宋_GB2312" w:hAnsi="仿宋_GB2312" w:eastAsia="仿宋_GB2312" w:cs="仿宋_GB2312"/>
        </w:rPr>
        <w:t>社区协同，而非社区主导。发展目标适配</w:t>
      </w:r>
      <w:r>
        <w:rPr>
          <w:rFonts w:hint="eastAsia" w:ascii="仿宋_GB2312" w:hAnsi="仿宋_GB2312" w:eastAsia="仿宋_GB2312" w:cs="仿宋_GB2312"/>
          <w:lang w:eastAsia="zh-CN"/>
        </w:rPr>
        <w:t>：</w:t>
      </w:r>
      <w:r>
        <w:rPr>
          <w:rFonts w:hint="eastAsia" w:ascii="仿宋_GB2312" w:hAnsi="仿宋_GB2312" w:eastAsia="仿宋_GB2312" w:cs="仿宋_GB2312"/>
        </w:rPr>
        <w:t>甜甜圈理念服务</w:t>
      </w:r>
      <w:r>
        <w:rPr>
          <w:rFonts w:hint="eastAsia" w:ascii="仿宋_GB2312" w:hAnsi="仿宋_GB2312" w:eastAsia="仿宋_GB2312" w:cs="仿宋_GB2312"/>
          <w:lang w:val="en-US" w:eastAsia="zh-CN"/>
        </w:rPr>
        <w:t>中国的</w:t>
      </w:r>
      <w:r>
        <w:rPr>
          <w:rFonts w:hint="eastAsia" w:ascii="仿宋_GB2312" w:hAnsi="仿宋_GB2312" w:eastAsia="仿宋_GB2312" w:cs="仿宋_GB2312"/>
        </w:rPr>
        <w:t>高质量发展，不直接限制合理消费，重点约束过度消费与低效产能。社会底线适配</w:t>
      </w:r>
      <w:r>
        <w:rPr>
          <w:rFonts w:hint="eastAsia" w:ascii="仿宋_GB2312" w:hAnsi="仿宋_GB2312" w:eastAsia="仿宋_GB2312" w:cs="仿宋_GB2312"/>
          <w:lang w:eastAsia="zh-CN"/>
        </w:rPr>
        <w:t>：</w:t>
      </w:r>
      <w:r>
        <w:rPr>
          <w:rFonts w:hint="eastAsia" w:ascii="仿宋_GB2312" w:hAnsi="仿宋_GB2312" w:eastAsia="仿宋_GB2312" w:cs="仿宋_GB2312"/>
        </w:rPr>
        <w:t>中国侧重公共服务均等化、新市民住房、养老、医疗、教育，与波特兰住房危机导向不同。</w:t>
      </w:r>
    </w:p>
    <w:p w14:paraId="326E68E5">
      <w:pPr>
        <w:rPr>
          <w:rFonts w:hint="eastAsia" w:ascii="方正仿宋_GB2312" w:hAnsi="方正仿宋_GB2312" w:eastAsia="方正仿宋_GB2312" w:cs="方正仿宋_GB2312"/>
          <w:sz w:val="24"/>
          <w:szCs w:val="24"/>
          <w:lang w:eastAsia="zh-CN"/>
        </w:rPr>
      </w:pPr>
      <w:r>
        <w:rPr>
          <w:rFonts w:hint="eastAsia" w:ascii="楷体_GB2312" w:hAnsi="楷体_GB2312" w:eastAsia="楷体_GB2312" w:cs="楷体_GB2312"/>
          <w:sz w:val="24"/>
          <w:szCs w:val="24"/>
          <w:lang w:val="en-US" w:eastAsia="zh-CN"/>
        </w:rPr>
        <w:t>五、</w:t>
      </w:r>
      <w:r>
        <w:rPr>
          <w:rFonts w:hint="eastAsia" w:ascii="楷体_GB2312" w:hAnsi="楷体_GB2312" w:eastAsia="楷体_GB2312" w:cs="楷体_GB2312"/>
          <w:sz w:val="24"/>
          <w:szCs w:val="24"/>
        </w:rPr>
        <w:t>结语</w:t>
      </w:r>
      <w:r>
        <w:rPr>
          <w:rFonts w:hint="eastAsia" w:ascii="楷体_GB2312" w:hAnsi="楷体_GB2312" w:eastAsia="楷体_GB2312" w:cs="楷体_GB2312"/>
          <w:sz w:val="24"/>
          <w:szCs w:val="24"/>
          <w:lang w:eastAsia="zh-CN"/>
        </w:rPr>
        <w:t>：</w:t>
      </w:r>
    </w:p>
    <w:p w14:paraId="225052E0">
      <w:pPr>
        <w:rPr>
          <w:rFonts w:hint="eastAsia" w:ascii="仿宋_GB2312" w:hAnsi="仿宋_GB2312" w:eastAsia="仿宋_GB2312" w:cs="仿宋_GB2312"/>
        </w:rPr>
      </w:pPr>
      <w:r>
        <w:rPr>
          <w:rFonts w:hint="eastAsia" w:ascii="仿宋_GB2312" w:hAnsi="仿宋_GB2312" w:eastAsia="仿宋_GB2312" w:cs="仿宋_GB2312"/>
        </w:rPr>
        <w:t>波特兰以甜甜圈经济学为框架，以消费端全生命周期碳核算为工具，构建了兼顾社会公平、本地生态安全与全球责任的城市治理新模式，实现了从前沿理论到法定政策的完整落地。其经验为中国城市推进双碳战略、完善民生保障、实现高质量发展提供重要参考。在中国场景下，应立足产业结构、治理体系与发展阶段进行本土化适配，走出兼顾发展、公平与生态安全的甜甜圈城市转型道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72EC11FE-2304-4CCF-946C-FB3BD0BF4B5C}"/>
  </w:font>
  <w:font w:name="楷体_GB2312">
    <w:panose1 w:val="02010609030101010101"/>
    <w:charset w:val="86"/>
    <w:family w:val="auto"/>
    <w:pitch w:val="default"/>
    <w:sig w:usb0="00000001" w:usb1="080E0000" w:usb2="00000000" w:usb3="00000000" w:csb0="00040000" w:csb1="00000000"/>
    <w:embedRegular r:id="rId2" w:fontKey="{D313B470-79BC-49A2-AC9C-229C3981A5AA}"/>
  </w:font>
  <w:font w:name="仿宋_GB2312">
    <w:panose1 w:val="02010609030101010101"/>
    <w:charset w:val="86"/>
    <w:family w:val="auto"/>
    <w:pitch w:val="default"/>
    <w:sig w:usb0="00000001" w:usb1="080E0000" w:usb2="00000000" w:usb3="00000000" w:csb0="00040000" w:csb1="00000000"/>
    <w:embedRegular r:id="rId3" w:fontKey="{6F7A6D9B-38E6-4DC8-922C-67BEA88C307C}"/>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9D4B1B"/>
    <w:rsid w:val="17D8582B"/>
    <w:rsid w:val="229D4B1B"/>
    <w:rsid w:val="3CAB1C76"/>
    <w:rsid w:val="7466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spacing w:line="240" w:lineRule="auto"/>
    </w:pPr>
    <w:rPr>
      <w:sz w:val="18"/>
      <w:szCs w:val="18"/>
    </w:rPr>
  </w:style>
  <w:style w:type="character" w:styleId="8">
    <w:name w:val="Strong"/>
    <w:basedOn w:val="7"/>
    <w:qFormat/>
    <w:uiPriority w:val="0"/>
    <w:rPr>
      <w:b/>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2026-05-09T12:16:00Z</dcterms:created>
  <dc:creator>仗月</dc:creator>
  <cp:lastModifiedBy>康正阳</cp:lastModifiedBy>
  <dcterms:modified xsi:type="dcterms:W3CDTF">2026-05-09T13:33:18Z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541E303A4B73446DB1CACF1801F4BA28_11</vt:lpwstr>
  </property>
  <property fmtid="{D5CDD505-2E9C-101B-9397-08002B2CF9AE}" pid="4" name="KSOTemplateDocerSaveRecord">
    <vt:lpwstr>eyJoZGlkIjoiODBhZmI0NjhkYmQ5M2M2MzkxMTNkOTYwNDgzYWI3NTMiLCJ1c2VySWQiOiIxNzM2MzkxMjgyIn0=</vt:lpwstr>
  </property>
</Properties>
</file>